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12732ds3a.htm"/>
      <w:bookmarkStart w:id="1" w:name="ksd112732ds3a"/>
      <w:bookmarkEnd w:id="0"/>
      <w:bookmarkEnd w:id="1"/>
      <w:r>
        <w:rPr>
          <w:rFonts w:ascii="Times New Roman" w:hAnsi="Times New Roman"/>
          <w:b/>
          <w:sz w:val="20"/>
        </w:rPr>
        <w:t xml:space="preserve">As filed with the Securities and Exchange Commission on August 5,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333-297903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6"/>
        </w:rPr>
      </w:pPr>
      <w:r>
        <w:rPr>
          <w:rFonts w:ascii="Times New Roman" w:hAnsi="Times New Roman"/>
          <w:b/>
          <w:sz w:val="36"/>
        </w:rPr>
        <w:t xml:space="preserve">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90-1024039</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611 Gateway Boulevard, Suite 273 </w:t>
      </w:r>
    </w:p>
    <w:p>
      <w:pPr>
        <w:pStyle w:val="TextBody"/>
        <w:bidi w:val="0"/>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bidi w:val="0"/>
        <w:spacing w:before="0" w:after="0"/>
        <w:jc w:val="center"/>
        <w:rPr>
          <w:rFonts w:ascii="Times New Roman" w:hAnsi="Times New Roman"/>
          <w:b/>
          <w:sz w:val="18"/>
        </w:rPr>
      </w:pPr>
      <w:r>
        <w:rPr>
          <w:rFonts w:ascii="Times New Roman" w:hAnsi="Times New Roman"/>
          <w:b/>
          <w:sz w:val="18"/>
        </w:rPr>
        <w:t xml:space="preserve">(415) 910-5717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Dirk Thye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Quince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611 Gateway Boulevard, Suite 273 </w:t>
      </w:r>
    </w:p>
    <w:p>
      <w:pPr>
        <w:pStyle w:val="TextBody"/>
        <w:bidi w:val="0"/>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40" w:after="0"/>
        <w:jc w:val="center"/>
        <w:rPr>
          <w:rFonts w:ascii="Times New Roman" w:hAnsi="Times New Roman"/>
          <w:b/>
          <w:sz w:val="18"/>
        </w:rPr>
      </w:pPr>
      <w:r>
        <w:rPr>
          <w:rFonts w:ascii="Times New Roman" w:hAnsi="Times New Roman"/>
          <w:b/>
          <w:sz w:val="18"/>
        </w:rPr>
        <w:t xml:space="preserve">Madison A. Jones </w:t>
      </w:r>
    </w:p>
    <w:p>
      <w:pPr>
        <w:pStyle w:val="TextBody"/>
        <w:bidi w:val="0"/>
        <w:spacing w:before="0" w:after="0"/>
        <w:jc w:val="center"/>
        <w:rPr>
          <w:rFonts w:ascii="Times New Roman" w:hAnsi="Times New Roman"/>
          <w:b/>
          <w:sz w:val="18"/>
        </w:rPr>
      </w:pPr>
      <w:r>
        <w:rPr>
          <w:rFonts w:ascii="Times New Roman" w:hAnsi="Times New Roman"/>
          <w:b/>
          <w:sz w:val="18"/>
        </w:rPr>
        <w:t xml:space="preserve">Ariel Rom </w:t>
      </w:r>
    </w:p>
    <w:p>
      <w:pPr>
        <w:pStyle w:val="TextBody"/>
        <w:bidi w:val="0"/>
        <w:spacing w:before="0" w:after="0"/>
        <w:jc w:val="center"/>
        <w:rPr>
          <w:rFonts w:ascii="Times New Roman" w:hAnsi="Times New Roman"/>
          <w:b/>
          <w:sz w:val="18"/>
        </w:rPr>
      </w:pPr>
      <w:r>
        <w:rPr>
          <w:rFonts w:ascii="Times New Roman" w:hAnsi="Times New Roman"/>
          <w:b/>
          <w:sz w:val="18"/>
        </w:rPr>
        <w:t xml:space="preserve">Rama Padmanabhan </w:t>
      </w:r>
    </w:p>
    <w:p>
      <w:pPr>
        <w:pStyle w:val="TextBody"/>
        <w:bidi w:val="0"/>
        <w:spacing w:before="0" w:after="0"/>
        <w:jc w:val="center"/>
        <w:rPr>
          <w:rFonts w:ascii="Times New Roman" w:hAnsi="Times New Roman"/>
          <w:b/>
          <w:sz w:val="18"/>
        </w:rPr>
      </w:pPr>
      <w:r>
        <w:rPr>
          <w:rFonts w:ascii="Times New Roman" w:hAnsi="Times New Roman"/>
          <w:b/>
          <w:sz w:val="18"/>
        </w:rPr>
        <w:t xml:space="preserve">Rita Sobral </w:t>
      </w:r>
    </w:p>
    <w:p>
      <w:pPr>
        <w:pStyle w:val="TextBody"/>
        <w:bidi w:val="0"/>
        <w:spacing w:before="0" w:after="0"/>
        <w:jc w:val="center"/>
        <w:rPr>
          <w:rFonts w:ascii="Times New Roman" w:hAnsi="Times New Roman"/>
          <w:b/>
          <w:sz w:val="18"/>
        </w:rPr>
      </w:pPr>
      <w:r>
        <w:rPr>
          <w:rFonts w:ascii="Times New Roman" w:hAnsi="Times New Roman"/>
          <w:b/>
          <w:sz w:val="18"/>
        </w:rPr>
        <w:t xml:space="preserve">Cooley LLP </w:t>
      </w:r>
    </w:p>
    <w:p>
      <w:pPr>
        <w:pStyle w:val="TextBody"/>
        <w:bidi w:val="0"/>
        <w:spacing w:before="0" w:after="0"/>
        <w:jc w:val="center"/>
        <w:rPr>
          <w:rFonts w:ascii="Times New Roman" w:hAnsi="Times New Roman"/>
          <w:b/>
          <w:sz w:val="18"/>
        </w:rPr>
      </w:pPr>
      <w:r>
        <w:rPr>
          <w:rFonts w:ascii="Times New Roman" w:hAnsi="Times New Roman"/>
          <w:b/>
          <w:sz w:val="18"/>
        </w:rPr>
        <w:t xml:space="preserve">1299 Pennsylvania Avenue, NW, Suite 700 </w:t>
      </w:r>
    </w:p>
    <w:p>
      <w:pPr>
        <w:pStyle w:val="TextBody"/>
        <w:bidi w:val="0"/>
        <w:spacing w:before="0" w:after="0"/>
        <w:jc w:val="center"/>
        <w:rPr>
          <w:rFonts w:ascii="Times New Roman" w:hAnsi="Times New Roman"/>
          <w:b/>
          <w:sz w:val="18"/>
        </w:rPr>
      </w:pPr>
      <w:r>
        <w:rPr>
          <w:rFonts w:ascii="Times New Roman" w:hAnsi="Times New Roman"/>
          <w:b/>
          <w:sz w:val="18"/>
        </w:rPr>
        <w:t xml:space="preserve">Washington, DC 20004 </w:t>
      </w:r>
    </w:p>
    <w:p>
      <w:pPr>
        <w:pStyle w:val="TextBody"/>
        <w:bidi w:val="0"/>
        <w:spacing w:before="0" w:after="0"/>
        <w:jc w:val="center"/>
        <w:rPr>
          <w:rFonts w:ascii="Times New Roman" w:hAnsi="Times New Roman"/>
          <w:b/>
          <w:sz w:val="18"/>
        </w:rPr>
      </w:pPr>
      <w:r>
        <w:rPr>
          <w:rFonts w:ascii="Times New Roman" w:hAnsi="Times New Roman"/>
          <w:b/>
          <w:sz w:val="18"/>
        </w:rPr>
        <w:t xml:space="preserve">(202) 842-7800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the effective date of this Registration Statement. </w:t>
      </w:r>
    </w:p>
    <w:p>
      <w:pPr>
        <w:pStyle w:val="TextBody"/>
        <w:bidi w:val="0"/>
        <w:spacing w:before="6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earliest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Quince Therapeutics, Inc. (the “Company”) is filing this Amendment No. 1 to its registration statement on Form S-3 (File No. 333-297903) (the “Registration Statement”) for the sole purpose of filing Exhibit 5.1. Accordingly, this Amendment No. 1 consists solely of the cover page, this explanatory note, Part II of the Registration Statement, Exhibit 5.1 and the signature pages. The remainder of the Registration Statement is unchanged and therefore has not been included in this Amendment No. 1 filing.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expenses payable by us in connection with the issuance and distribution of the securities being registered hereunder on Form S-3 (other than underwriting discounts and commissions, if any) are set forth below. The Selling Stockholders will not bear any portion of such expenses. Each item listed is estimated,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4"/>
        <w:gridCol w:w="472"/>
        <w:gridCol w:w="140"/>
        <w:gridCol w:w="931"/>
        <w:gridCol w:w="62"/>
      </w:tblGrid>
      <w:tr>
        <w:trPr/>
        <w:tc>
          <w:tcPr>
            <w:tcW w:w="5334"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1" w:type="dxa"/>
            <w:tcBorders/>
            <w:shd w:fill="CCEEFF" w:val="clear"/>
            <w:vAlign w:val="bottom"/>
          </w:tcPr>
          <w:p>
            <w:pPr>
              <w:pStyle w:val="TableContents"/>
              <w:bidi w:val="0"/>
              <w:spacing w:before="0" w:after="283"/>
              <w:jc w:val="right"/>
              <w:rPr/>
            </w:pPr>
            <w:r>
              <w:rPr/>
              <w:t>38,600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100,000</w:t>
            </w:r>
          </w:p>
        </w:tc>
        <w:tc>
          <w:tcPr>
            <w:tcW w:w="62"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300,000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50,000</w:t>
            </w:r>
          </w:p>
        </w:tc>
        <w:tc>
          <w:tcPr>
            <w:tcW w:w="62" w:type="dxa"/>
            <w:tcBorders/>
            <w:vAlign w:val="bottom"/>
          </w:tcPr>
          <w:p>
            <w:pPr>
              <w:pStyle w:val="TableContents"/>
              <w:bidi w:val="0"/>
              <w:spacing w:before="0" w:after="283"/>
              <w:jc w:val="left"/>
              <w:rPr/>
            </w:pPr>
            <w:r>
              <w:rPr/>
              <w:t> </w:t>
            </w:r>
          </w:p>
        </w:tc>
      </w:tr>
      <w:tr>
        <w:trPr/>
        <w:tc>
          <w:tcPr>
            <w:tcW w:w="5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10,000</w:t>
            </w:r>
          </w:p>
        </w:tc>
        <w:tc>
          <w:tcPr>
            <w:tcW w:w="62" w:type="dxa"/>
            <w:tcBorders/>
            <w:shd w:fill="CCEEFF" w:val="clear"/>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4"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1" w:type="dxa"/>
            <w:tcBorders/>
            <w:vAlign w:val="bottom"/>
          </w:tcPr>
          <w:p>
            <w:pPr>
              <w:pStyle w:val="TableContents"/>
              <w:bidi w:val="0"/>
              <w:spacing w:before="0" w:after="283"/>
              <w:jc w:val="right"/>
              <w:rPr/>
            </w:pPr>
            <w:r>
              <w:rPr/>
              <w:t>498,600</w:t>
            </w:r>
          </w:p>
        </w:tc>
        <w:tc>
          <w:tcPr>
            <w:tcW w:w="62" w:type="dxa"/>
            <w:tcBorders/>
            <w:vAlign w:val="bottom"/>
          </w:tcPr>
          <w:p>
            <w:pPr>
              <w:pStyle w:val="TableContents"/>
              <w:bidi w:val="0"/>
              <w:spacing w:before="0" w:after="283"/>
              <w:jc w:val="left"/>
              <w:rPr/>
            </w:pPr>
            <w:r>
              <w:rPr/>
              <w:t> </w:t>
            </w:r>
          </w:p>
        </w:tc>
      </w:tr>
      <w:tr>
        <w:trPr/>
        <w:tc>
          <w:tcPr>
            <w:tcW w:w="5334"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Officers and Directors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provide for indemnification by the registrant of its directors, officers and employees to the fullest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provides for such limitation of liability. </w:t>
      </w:r>
    </w:p>
    <w:p>
      <w:pPr>
        <w:pStyle w:val="TextBody"/>
        <w:bidi w:val="0"/>
        <w:spacing w:before="240" w:after="0"/>
        <w:jc w:val="left"/>
        <w:rPr>
          <w:rFonts w:ascii="Times New Roman" w:hAnsi="Times New Roman"/>
          <w:sz w:val="20"/>
        </w:rPr>
      </w:pPr>
      <w:r>
        <w:rPr>
          <w:rFonts w:ascii="Times New Roman" w:hAnsi="Times New Roman"/>
          <w:sz w:val="20"/>
        </w:rPr>
        <w:t xml:space="preserve">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6"/>
        <w:gridCol w:w="512"/>
        <w:gridCol w:w="8817"/>
      </w:tblGrid>
      <w:tr>
        <w:trPr/>
        <w:tc>
          <w:tcPr>
            <w:tcW w:w="876"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8817" w:type="dxa"/>
            <w:tcBorders/>
            <w:vAlign w:val="center"/>
          </w:tcPr>
          <w:p>
            <w:pPr>
              <w:pStyle w:val="TableContents"/>
              <w:bidi w:val="0"/>
              <w:spacing w:before="0" w:after="283"/>
              <w:jc w:val="left"/>
              <w:rPr>
                <w:sz w:val="4"/>
                <w:szCs w:val="4"/>
              </w:rPr>
            </w:pPr>
            <w:r>
              <w:rPr>
                <w:sz w:val="4"/>
                <w:szCs w:val="4"/>
              </w:rPr>
            </w:r>
          </w:p>
        </w:tc>
      </w:tr>
      <w:tr>
        <w:trPr/>
        <w:tc>
          <w:tcPr>
            <w:tcW w:w="876"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512" w:type="dxa"/>
            <w:tcBorders/>
            <w:vAlign w:val="bottom"/>
          </w:tcPr>
          <w:p>
            <w:pPr>
              <w:pStyle w:val="TableContents"/>
              <w:bidi w:val="0"/>
              <w:spacing w:before="0" w:after="283"/>
              <w:jc w:val="left"/>
              <w:rPr/>
            </w:pPr>
            <w:r>
              <w:rPr/>
              <w:t>  </w:t>
            </w:r>
          </w:p>
        </w:tc>
        <w:tc>
          <w:tcPr>
            <w:tcW w:w="881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2.1**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2">
              <w:r>
                <w:rPr>
                  <w:rStyle w:val="InternetLink"/>
                </w:rPr>
                <w:t>Agreement and Plan of Merger, dated May  17, 2026, by and among Quince Therapeutics, Inc., Phoenix Merger Sub I, Inc., Phoenix Merger Sub II, LLC, Orphai Therapeutics, LLC, and Orphai Holdings Therapeutics, Inc. (incorporated by reference to Exhibit 2.1 to the Registrant’s Current Report on Form 8-K (File No. 001-38890), filed with the SEC on May 18,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3">
              <w:r>
                <w:rPr>
                  <w:rStyle w:val="InternetLink"/>
                </w:rPr>
                <w:t>Amended and Restated Certificate of Incorporation (incorporated by reference to Exhibit 3.1 to the Registrant’s Current Report on Form 8-K (File No. 001-38890), filed with the SEC on May 13, 2019).</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4.2**</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4">
              <w:r>
                <w:rPr>
                  <w:rStyle w:val="InternetLink"/>
                </w:rPr>
                <w:t>Certificate of Amendment to Amended and Restated Certificate of Incorporation of Quince Therapeutics, Inc. (incorporated by reference to Exhibit 3.1 to the Registrant’s Current Report on Form 8-K (File No. 001-38890), filed with the SEC on August 1, 2022).</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4.3**</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5">
              <w:r>
                <w:rPr>
                  <w:rStyle w:val="InternetLink"/>
                </w:rPr>
                <w:t>Certificate of Amendment to Amended and Restated Certificate of Incorporation of Quince Therapeutics, Inc. (incorporated by reference to Exhibit 3.1 to the Registrant’s Current Report on Form 8-K (File No. 001-38890), filed with the SEC on April 9,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4.4**</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6">
              <w:r>
                <w:rPr>
                  <w:rStyle w:val="InternetLink"/>
                </w:rPr>
                <w:t>Certificate of Amendment to Amended and Restated Certificate of Incorporation of Quince Therapeutics, Inc. (incorporated by reference to Exhibit 3.1 to the Registrant’s Current Report on Form 8-K (File No. 001-38890), filed with the SEC on June 26,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4.5**</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7">
              <w:r>
                <w:rPr>
                  <w:rStyle w:val="InternetLink"/>
                </w:rPr>
                <w:t>Amended and Restated Bylaws (incorporated by reference to Exhibit 3.2 to the Registrant’s Current Report on Form 8-K (File No. 001-38890), filed with the SEC on August 1, 2022).</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4.6**</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8">
              <w:r>
                <w:rPr>
                  <w:rStyle w:val="InternetLink"/>
                </w:rPr>
                <w:t>Amendment to Amended and Restated Bylaws (incorporated by reference to Exhibit 3.4 to the Registrant’s Annual Report on Form 10-K (File No. 001-38890), filed with the SEC on April 10,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4.7**</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9">
              <w:r>
                <w:rPr>
                  <w:rStyle w:val="InternetLink"/>
                </w:rPr>
                <w:t>Certificate of Designation of Series C Non-Voting Convertible Preferred Stock (incorporated by reference to Exhibit 3.1 to the Registrant’s Current Report on Form 8-K (File No. 001-38890), filed with the SEC on May 18,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4.8**</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0">
              <w:r>
                <w:rPr>
                  <w:rStyle w:val="InternetLink"/>
                </w:rPr>
                <w:t>Form of Pre-Funded Warrant (incorporated by reference to Exhibit 4.1 to the Registrant’s Current Report on Form 8-K (File No. 001-38890), filed with the SEC on June 13,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4.9**</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1">
              <w:r>
                <w:rPr>
                  <w:rStyle w:val="InternetLink"/>
                </w:rPr>
                <w:t xml:space="preserve">Form of Common Warrant (incorporated by reference to Exhibit 4.2 to the Registrant’s Current Report on Form 8-K (File No. 001-38890), filed with the SEC on June 13, 2025).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4.10**</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2">
              <w:r>
                <w:rPr>
                  <w:rStyle w:val="InternetLink"/>
                </w:rPr>
                <w:t>Form of Warrant to Purchase Series C Non-Voting Convertible Preferred Stock or Common Stock (incorporated by reference to Exhibit 4.1 to the Registrant’s Current Report on Form 8-K (File No. 001-38890), filed with the SEC on May 18,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3">
              <w:r>
                <w:rPr>
                  <w:rStyle w:val="InternetLink"/>
                </w:rPr>
                <w:t>Form of Registration Rights Agreement, dated June  12, 2025, by and among Quince Therapeutics, Inc. and each of the several purchasers signatory thereto (incorporated by reference to Exhibit 10.2 to the Registrant’s Current Report on Form 8-K (File No. 001-38890), filed with the SEC on June 13, 2025.</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4.12**</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4">
              <w:r>
                <w:rPr>
                  <w:rStyle w:val="InternetLink"/>
                </w:rPr>
                <w:t>Form of Registration Rights Agreement, by and among Quince Therapeutics, Inc. and certain investors signatory thereto (incorporated by reference to Exhibit 10.2 to the Registrant’s Current Report on Form 8-K (File No. 001-38890), filed with the SEC on May 18, 2026).</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 </w:t>
            </w:r>
            <w:r>
              <w:rPr/>
              <w:t>5.1*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w:anchor="d112732dex51.htm">
              <w:r>
                <w:rPr>
                  <w:rStyle w:val="InternetLink"/>
                </w:rPr>
                <w:t xml:space="preserve">Opinion of Cooley LLP. </w:t>
              </w:r>
            </w:hyperlink>
          </w:p>
        </w:tc>
      </w:tr>
      <w:tr>
        <w:trPr>
          <w:trHeight w:val="120" w:hRule="atLeast"/>
        </w:trPr>
        <w:tc>
          <w:tcPr>
            <w:tcW w:w="876" w:type="dxa"/>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23.1**</w:t>
            </w:r>
          </w:p>
        </w:tc>
        <w:tc>
          <w:tcPr>
            <w:tcW w:w="512" w:type="dxa"/>
            <w:tcBorders/>
            <w:vAlign w:val="bottom"/>
          </w:tcPr>
          <w:p>
            <w:pPr>
              <w:pStyle w:val="TableContents"/>
              <w:bidi w:val="0"/>
              <w:spacing w:before="0" w:after="283"/>
              <w:jc w:val="left"/>
              <w:rPr/>
            </w:pPr>
            <w:r>
              <w:rPr/>
              <w:t>  </w:t>
            </w:r>
          </w:p>
        </w:tc>
        <w:tc>
          <w:tcPr>
            <w:tcW w:w="8817" w:type="dxa"/>
            <w:tcBorders/>
          </w:tcPr>
          <w:p>
            <w:pPr>
              <w:pStyle w:val="TableContents"/>
              <w:bidi w:val="0"/>
              <w:spacing w:before="0" w:after="283"/>
              <w:jc w:val="left"/>
              <w:rPr/>
            </w:pPr>
            <w:hyperlink r:id="rId15">
              <w:r>
                <w:rPr>
                  <w:rStyle w:val="InternetLink"/>
                </w:rPr>
                <w:t>Consent of BDO USA, P.C., independent registered public accounting firm for Quince Therapeutics, Inc.</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7"/>
        <w:gridCol w:w="659"/>
        <w:gridCol w:w="8659"/>
      </w:tblGrid>
      <w:tr>
        <w:trPr/>
        <w:tc>
          <w:tcPr>
            <w:tcW w:w="887" w:type="dxa"/>
            <w:tcBorders/>
            <w:vAlign w:val="center"/>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8659" w:type="dxa"/>
            <w:tcBorders/>
            <w:vAlign w:val="center"/>
          </w:tcPr>
          <w:p>
            <w:pPr>
              <w:pStyle w:val="TableContents"/>
              <w:bidi w:val="0"/>
              <w:spacing w:before="0" w:after="283"/>
              <w:jc w:val="left"/>
              <w:rPr>
                <w:sz w:val="4"/>
                <w:szCs w:val="4"/>
              </w:rPr>
            </w:pPr>
            <w:r>
              <w:rPr>
                <w:sz w:val="4"/>
                <w:szCs w:val="4"/>
              </w:rPr>
            </w:r>
          </w:p>
        </w:tc>
      </w:tr>
      <w:tr>
        <w:trPr/>
        <w:tc>
          <w:tcPr>
            <w:tcW w:w="887" w:type="dxa"/>
            <w:tcBorders>
              <w:bottom w:val="single" w:sz="8" w:space="0" w:color="000000"/>
            </w:tcBorders>
            <w:tcMar>
              <w:bottom w:w="28" w:type="dxa"/>
            </w:tcMar>
            <w:vAlign w:val="bottom"/>
          </w:tcPr>
          <w:p>
            <w:pPr>
              <w:pStyle w:val="TableContents"/>
              <w:bidi w:val="0"/>
              <w:spacing w:before="0" w:after="283"/>
              <w:jc w:val="center"/>
              <w:rPr/>
            </w:pPr>
            <w:r>
              <w:rPr>
                <w:b/>
              </w:rPr>
              <w:t>Exhibit</w:t>
            </w:r>
            <w:r>
              <w:rPr/>
              <w:br/>
            </w:r>
            <w:r>
              <w:rPr>
                <w:b/>
              </w:rPr>
              <w:t>Number</w:t>
            </w:r>
          </w:p>
        </w:tc>
        <w:tc>
          <w:tcPr>
            <w:tcW w:w="659" w:type="dxa"/>
            <w:tcBorders/>
            <w:vAlign w:val="bottom"/>
          </w:tcPr>
          <w:p>
            <w:pPr>
              <w:pStyle w:val="TableContents"/>
              <w:bidi w:val="0"/>
              <w:spacing w:before="0" w:after="283"/>
              <w:jc w:val="left"/>
              <w:rPr/>
            </w:pPr>
            <w:r>
              <w:rPr/>
              <w:t>  </w:t>
            </w:r>
          </w:p>
        </w:tc>
        <w:tc>
          <w:tcPr>
            <w:tcW w:w="86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23.2**</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r:id="rId16">
              <w:r>
                <w:rPr>
                  <w:rStyle w:val="InternetLink"/>
                </w:rPr>
                <w:t>Consent of Deloitte &amp; Touche LLP, independent registered public accounting firm for Orphai Therapeutics, LLC</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23.3*</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w:anchor="d112732dex51.htm">
              <w:r>
                <w:rPr>
                  <w:rStyle w:val="InternetLink"/>
                </w:rPr>
                <w:t xml:space="preserve">Consent of Cooley LLP (included in Exhibit 5.1). </w:t>
              </w:r>
            </w:hyperlink>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24.1**</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r>
              <w:fldChar w:fldCharType="begin"/>
            </w:r>
            <w:r>
              <w:rPr>
                <w:rStyle w:val="InternetLink"/>
              </w:rPr>
              <w:instrText xml:space="preserve"> HYPERLINK "http://www.sec.gov/Archives/edgar/data/1662774/000119312526328769/d167417ds3.htm" \l "sig"</w:instrText>
            </w:r>
            <w:r>
              <w:rPr>
                <w:rStyle w:val="InternetLink"/>
              </w:rPr>
              <w:fldChar w:fldCharType="separate"/>
            </w:r>
            <w:r>
              <w:rPr>
                <w:rStyle w:val="InternetLink"/>
              </w:rPr>
              <w:t>Power of Attorney (including on signature page of this Registration Statement)</w:t>
            </w:r>
            <w:r>
              <w:rPr>
                <w:rStyle w:val="InternetLink"/>
              </w:rPr>
              <w:fldChar w:fldCharType="end"/>
            </w:r>
          </w:p>
        </w:tc>
      </w:tr>
      <w:tr>
        <w:trPr>
          <w:trHeight w:val="120" w:hRule="atLeast"/>
        </w:trPr>
        <w:tc>
          <w:tcPr>
            <w:tcW w:w="887" w:type="dxa"/>
            <w:tcBorders/>
            <w:vAlign w:val="center"/>
          </w:tcPr>
          <w:p>
            <w:pPr>
              <w:pStyle w:val="TableContents"/>
              <w:bidi w:val="0"/>
              <w:spacing w:before="0" w:after="283"/>
              <w:jc w:val="left"/>
              <w:rPr>
                <w:sz w:val="4"/>
                <w:szCs w:val="4"/>
              </w:rPr>
            </w:pPr>
            <w:r>
              <w:rPr>
                <w:sz w:val="4"/>
                <w:szCs w:val="4"/>
              </w:rPr>
            </w:r>
          </w:p>
        </w:tc>
        <w:tc>
          <w:tcPr>
            <w:tcW w:w="9318"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107**</w:t>
            </w:r>
          </w:p>
        </w:tc>
        <w:tc>
          <w:tcPr>
            <w:tcW w:w="659" w:type="dxa"/>
            <w:tcBorders/>
            <w:vAlign w:val="bottom"/>
          </w:tcPr>
          <w:p>
            <w:pPr>
              <w:pStyle w:val="TableContents"/>
              <w:bidi w:val="0"/>
              <w:spacing w:before="0" w:after="283"/>
              <w:jc w:val="left"/>
              <w:rPr/>
            </w:pPr>
            <w:r>
              <w:rPr/>
              <w:t>  </w:t>
            </w:r>
          </w:p>
        </w:tc>
        <w:tc>
          <w:tcPr>
            <w:tcW w:w="8659" w:type="dxa"/>
            <w:tcBorders/>
          </w:tcPr>
          <w:p>
            <w:pPr>
              <w:pStyle w:val="TableContents"/>
              <w:bidi w:val="0"/>
              <w:spacing w:before="0" w:after="283"/>
              <w:jc w:val="left"/>
              <w:rPr/>
            </w:pPr>
            <w:hyperlink r:id="rId17">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annexes and attachments have been omitted pursuant to Item 601(a)(5) of Regulation S-K. The Registrant agrees to furnish supplementally a copy of any omitted schedule, annex or attachment to the SEC upon request.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“Filing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subparagraphs (i), (ii), and (iii)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Amendment No. 1 to the Registration Statement to be signed on its behalf by the undersigned, thereunto duly authorized, in South San Francisco, California,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QUINCE THERAPEUTICS,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Dirk Thye, M.D.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Dirk Thye, M.D.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Chief Executive Officer and</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Chief Medical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person whose signature appears below hereby constitutes and appoints Dirk Thye and Brendan Hannah, as his or her true and lawful attorneys-in-fact, proxies and agents, each with full power of substitution and resubstitution, for him or her in his or her name, place and stead,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and generally to do all such things in his or her name and behalf in his or her capacity as officers and directors to enable the Company to comply with the provisions of the Securities Act and all requirements of the SEC,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131"/>
        <w:gridCol w:w="120"/>
        <w:gridCol w:w="4824"/>
        <w:gridCol w:w="201"/>
        <w:gridCol w:w="1929"/>
      </w:tblGrid>
      <w:tr>
        <w:trPr/>
        <w:tc>
          <w:tcPr>
            <w:tcW w:w="31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r>
      <w:tr>
        <w:trPr/>
        <w:tc>
          <w:tcPr>
            <w:tcW w:w="31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82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9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Dirk Thye, M.D.</w:t>
            </w:r>
          </w:p>
          <w:p>
            <w:pPr>
              <w:pStyle w:val="TableContents"/>
              <w:bidi w:val="0"/>
              <w:spacing w:before="0" w:after="20"/>
              <w:jc w:val="center"/>
              <w:rPr>
                <w:rFonts w:ascii="Times New Roman" w:hAnsi="Times New Roman"/>
                <w:sz w:val="20"/>
              </w:rPr>
            </w:pPr>
            <w:r>
              <w:rPr>
                <w:rFonts w:ascii="Times New Roman" w:hAnsi="Times New Roman"/>
                <w:sz w:val="20"/>
              </w:rPr>
              <w:t>Dirk Thye, M.D.</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center"/>
              <w:rPr/>
            </w:pPr>
            <w:r>
              <w:rPr/>
              <w:t>Chief Executive Officer, Chief Medical Officer and Director (Principal Executive Officer)</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Brendan Hannah</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0"/>
              <w:jc w:val="center"/>
              <w:rPr>
                <w:rFonts w:ascii="Times New Roman" w:hAnsi="Times New Roman"/>
                <w:sz w:val="20"/>
              </w:rPr>
            </w:pPr>
            <w:r>
              <w:rPr>
                <w:rFonts w:ascii="Times New Roman" w:hAnsi="Times New Roman"/>
                <w:sz w:val="20"/>
              </w:rPr>
              <w:t>Chief Business Officer and Chief Operating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A. Lamond</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June Bray</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Brigette Roberts, M.D.</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center"/>
              <w:rPr/>
            </w:pPr>
            <w:r>
              <w:rPr/>
              <w:t>Chief of Corporate Affairs and Director</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r>
        <w:trPr>
          <w:trHeight w:val="240" w:hRule="atLeast"/>
        </w:trPr>
        <w:tc>
          <w:tcPr>
            <w:tcW w:w="3131" w:type="dxa"/>
            <w:tcBorders/>
            <w:vAlign w:val="center"/>
          </w:tcPr>
          <w:p>
            <w:pPr>
              <w:pStyle w:val="TableContents"/>
              <w:bidi w:val="0"/>
              <w:spacing w:before="0" w:after="283"/>
              <w:jc w:val="left"/>
              <w:rPr>
                <w:sz w:val="4"/>
                <w:szCs w:val="4"/>
              </w:rPr>
            </w:pPr>
            <w:r>
              <w:rPr>
                <w:sz w:val="4"/>
                <w:szCs w:val="4"/>
              </w:rPr>
            </w:r>
          </w:p>
        </w:tc>
        <w:tc>
          <w:tcPr>
            <w:tcW w:w="4944" w:type="dxa"/>
            <w:gridSpan w:val="2"/>
            <w:tcBorders/>
            <w:vAlign w:val="center"/>
          </w:tcPr>
          <w:p>
            <w:pPr>
              <w:pStyle w:val="TableContents"/>
              <w:bidi w:val="0"/>
              <w:spacing w:before="0" w:after="283"/>
              <w:jc w:val="left"/>
              <w:rPr>
                <w:sz w:val="4"/>
                <w:szCs w:val="4"/>
              </w:rPr>
            </w:pPr>
            <w:r>
              <w:rPr>
                <w:sz w:val="4"/>
                <w:szCs w:val="4"/>
              </w:rPr>
            </w:r>
          </w:p>
        </w:tc>
        <w:tc>
          <w:tcPr>
            <w:tcW w:w="2130" w:type="dxa"/>
            <w:gridSpan w:val="2"/>
            <w:tcBorders/>
            <w:vAlign w:val="center"/>
          </w:tcPr>
          <w:p>
            <w:pPr>
              <w:pStyle w:val="TableContents"/>
              <w:bidi w:val="0"/>
              <w:spacing w:before="0" w:after="283"/>
              <w:jc w:val="left"/>
              <w:rPr>
                <w:sz w:val="4"/>
                <w:szCs w:val="4"/>
              </w:rPr>
            </w:pPr>
            <w:r>
              <w:rPr>
                <w:sz w:val="4"/>
                <w:szCs w:val="4"/>
              </w:rPr>
            </w:r>
          </w:p>
        </w:tc>
      </w:tr>
      <w:tr>
        <w:trPr/>
        <w:tc>
          <w:tcPr>
            <w:tcW w:w="31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Christopher J. Senner</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29" w:type="dxa"/>
            <w:tcBorders/>
          </w:tcPr>
          <w:p>
            <w:pPr>
              <w:pStyle w:val="TableContents"/>
              <w:bidi w:val="0"/>
              <w:spacing w:before="0" w:after="283"/>
              <w:jc w:val="center"/>
              <w:rPr/>
            </w:pPr>
            <w:r>
              <w:rPr/>
              <w:t>August 5, 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8" w:type="dxa"/>
            <w:tcBorders/>
            <w:vAlign w:val="center"/>
          </w:tcPr>
          <w:p>
            <w:pPr>
              <w:pStyle w:val="TableContents"/>
              <w:bidi w:val="0"/>
              <w:spacing w:before="0" w:after="283"/>
              <w:jc w:val="left"/>
              <w:rPr>
                <w:sz w:val="4"/>
                <w:szCs w:val="4"/>
              </w:rPr>
            </w:pPr>
            <w:r>
              <w:rPr>
                <w:sz w:val="4"/>
                <w:szCs w:val="4"/>
              </w:rPr>
            </w:r>
          </w:p>
        </w:tc>
        <w:tc>
          <w:tcPr>
            <w:tcW w:w="3564" w:type="dxa"/>
            <w:gridSpan w:val="2"/>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83"/>
              <w:jc w:val="center"/>
              <w:rPr/>
            </w:pPr>
            <w:r>
              <w:rPr/>
              <w:t>/s/ Dirk Thye, M.D.</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283"/>
              <w:jc w:val="center"/>
              <w:rPr/>
            </w:pPr>
            <w:r>
              <w:rPr/>
              <w:t>Dirk Thye, M.D.</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vAlign w:val="bottom"/>
          </w:tcPr>
          <w:p>
            <w:pPr>
              <w:pStyle w:val="TableContents"/>
              <w:bidi w:val="0"/>
              <w:spacing w:before="0" w:after="283"/>
              <w:jc w:val="center"/>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2" w:name="d112732dex51.htm"/>
      <w:bookmarkStart w:id="3" w:name="ksd112732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04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Madison A. Jones </w:t>
      </w:r>
    </w:p>
    <w:p>
      <w:pPr>
        <w:pStyle w:val="TextBody"/>
        <w:bidi w:val="0"/>
        <w:spacing w:before="0" w:after="0"/>
        <w:jc w:val="left"/>
        <w:rPr>
          <w:rFonts w:ascii="Times New Roman" w:hAnsi="Times New Roman"/>
          <w:sz w:val="20"/>
        </w:rPr>
      </w:pPr>
      <w:r>
        <w:rPr>
          <w:rFonts w:ascii="Times New Roman" w:hAnsi="Times New Roman"/>
          <w:sz w:val="20"/>
        </w:rPr>
        <w:t xml:space="preserve">+(202) 728 7087 </w:t>
      </w:r>
    </w:p>
    <w:p>
      <w:pPr>
        <w:pStyle w:val="TextBody"/>
        <w:bidi w:val="0"/>
        <w:spacing w:before="0" w:after="0"/>
        <w:jc w:val="left"/>
        <w:rPr>
          <w:rFonts w:ascii="Times New Roman" w:hAnsi="Times New Roman"/>
          <w:sz w:val="20"/>
        </w:rPr>
      </w:pPr>
      <w:r>
        <w:rPr>
          <w:rFonts w:ascii="Times New Roman" w:hAnsi="Times New Roman"/>
          <w:sz w:val="20"/>
        </w:rPr>
        <w:t xml:space="preserve">madison.jones@cooley.com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Quince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611 Gateway Boulevard, Suite 273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California 94080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Quince Therapeutics, Inc., a Delaware corporation (the “</w:t>
      </w:r>
      <w:r>
        <w:rPr>
          <w:rFonts w:ascii="Times New Roman" w:hAnsi="Times New Roman"/>
          <w:b/>
          <w:i/>
          <w:sz w:val="20"/>
        </w:rPr>
        <w:t>Company</w:t>
      </w:r>
      <w:r>
        <w:rPr>
          <w:rFonts w:ascii="Times New Roman" w:hAnsi="Times New Roman"/>
          <w:sz w:val="20"/>
        </w:rPr>
        <w:t>”), in connection with the filing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15,470,099 shares (the “</w:t>
      </w:r>
      <w:r>
        <w:rPr>
          <w:rFonts w:ascii="Times New Roman" w:hAnsi="Times New Roman"/>
          <w:b/>
          <w:i/>
          <w:sz w:val="20"/>
        </w:rPr>
        <w:t>Shares</w:t>
      </w:r>
      <w:r>
        <w:rPr>
          <w:rFonts w:ascii="Times New Roman" w:hAnsi="Times New Roman"/>
          <w:sz w:val="20"/>
        </w:rPr>
        <w:t>”) of the Company’s common stock, par value $0.001 per share (“</w:t>
      </w:r>
      <w:r>
        <w:rPr>
          <w:rFonts w:ascii="Times New Roman" w:hAnsi="Times New Roman"/>
          <w:b/>
          <w:i/>
          <w:sz w:val="20"/>
        </w:rPr>
        <w:t>Common Stock</w:t>
      </w:r>
      <w:r>
        <w:rPr>
          <w:rFonts w:ascii="Times New Roman" w:hAnsi="Times New Roman"/>
          <w:sz w:val="20"/>
        </w:rPr>
        <w:t>”), consisting of up to (i) 162,971 outstanding shares of Common Stock (the “</w:t>
      </w:r>
      <w:r>
        <w:rPr>
          <w:rFonts w:ascii="Times New Roman" w:hAnsi="Times New Roman"/>
          <w:b/>
          <w:i/>
          <w:sz w:val="20"/>
        </w:rPr>
        <w:t>Acquisition Shares</w:t>
      </w:r>
      <w:r>
        <w:rPr>
          <w:rFonts w:ascii="Times New Roman" w:hAnsi="Times New Roman"/>
          <w:sz w:val="20"/>
        </w:rPr>
        <w:t>”), (ii) 3,489,281 shares of Common Stock (the “</w:t>
      </w:r>
      <w:r>
        <w:rPr>
          <w:rFonts w:ascii="Times New Roman" w:hAnsi="Times New Roman"/>
          <w:b/>
          <w:i/>
          <w:sz w:val="20"/>
        </w:rPr>
        <w:t>Acquisition Conversion Shares</w:t>
      </w:r>
      <w:r>
        <w:rPr>
          <w:rFonts w:ascii="Times New Roman" w:hAnsi="Times New Roman"/>
          <w:sz w:val="20"/>
        </w:rPr>
        <w:t>”) issuable upon conversion of 67,101.235 outstanding shares (“</w:t>
      </w:r>
      <w:r>
        <w:rPr>
          <w:rFonts w:ascii="Times New Roman" w:hAnsi="Times New Roman"/>
          <w:b/>
          <w:i/>
          <w:sz w:val="20"/>
        </w:rPr>
        <w:t>Acquisition Preferred Shares</w:t>
      </w:r>
      <w:r>
        <w:rPr>
          <w:rFonts w:ascii="Times New Roman" w:hAnsi="Times New Roman"/>
          <w:sz w:val="20"/>
        </w:rPr>
        <w:t>”) of the Company’s Series C Non-Voting Convertible Preferred Stock, par value $0.001 per share (“</w:t>
      </w:r>
      <w:r>
        <w:rPr>
          <w:rFonts w:ascii="Times New Roman" w:hAnsi="Times New Roman"/>
          <w:b/>
          <w:i/>
          <w:sz w:val="20"/>
        </w:rPr>
        <w:t>Series C Preferred Stock</w:t>
      </w:r>
      <w:r>
        <w:rPr>
          <w:rFonts w:ascii="Times New Roman" w:hAnsi="Times New Roman"/>
          <w:sz w:val="20"/>
        </w:rPr>
        <w:t>”), (iii) 570,169 shares of Common Stock (the “</w:t>
      </w:r>
      <w:r>
        <w:rPr>
          <w:rFonts w:ascii="Times New Roman" w:hAnsi="Times New Roman"/>
          <w:b/>
          <w:i/>
          <w:sz w:val="20"/>
        </w:rPr>
        <w:t>Acquisition Warrant Shares</w:t>
      </w:r>
      <w:r>
        <w:rPr>
          <w:rFonts w:ascii="Times New Roman" w:hAnsi="Times New Roman"/>
          <w:sz w:val="20"/>
        </w:rPr>
        <w:t>”) issuable upon exercise of outstanding warrants (the “</w:t>
      </w:r>
      <w:r>
        <w:rPr>
          <w:rFonts w:ascii="Times New Roman" w:hAnsi="Times New Roman"/>
          <w:b/>
          <w:i/>
          <w:sz w:val="20"/>
        </w:rPr>
        <w:t>Acquisition Warrants</w:t>
      </w:r>
      <w:r>
        <w:rPr>
          <w:rFonts w:ascii="Times New Roman" w:hAnsi="Times New Roman"/>
          <w:sz w:val="20"/>
        </w:rPr>
        <w:t>”) (or, if such Acquisition Warrants are exercised for Series C Preferred Stock, the shares of Common Stock issuable upon conversion of such shares of Series C Preferred Stock), (iv) 7,498,447 shares of Common Stock (the “</w:t>
      </w:r>
      <w:r>
        <w:rPr>
          <w:rFonts w:ascii="Times New Roman" w:hAnsi="Times New Roman"/>
          <w:b/>
          <w:i/>
          <w:sz w:val="20"/>
        </w:rPr>
        <w:t>PIPE Conversion Shares</w:t>
      </w:r>
      <w:r>
        <w:rPr>
          <w:rFonts w:ascii="Times New Roman" w:hAnsi="Times New Roman"/>
          <w:sz w:val="20"/>
        </w:rPr>
        <w:t>”) issuable upon conversion of 144,200.633 outstanding shares of the Company’s Series C Preferred Stock (the “</w:t>
      </w:r>
      <w:r>
        <w:rPr>
          <w:rFonts w:ascii="Times New Roman" w:hAnsi="Times New Roman"/>
          <w:b/>
          <w:i/>
          <w:sz w:val="20"/>
        </w:rPr>
        <w:t>PIPE Preferred Shares</w:t>
      </w:r>
      <w:r>
        <w:rPr>
          <w:rFonts w:ascii="Times New Roman" w:hAnsi="Times New Roman"/>
          <w:sz w:val="20"/>
        </w:rPr>
        <w:t>”), and (v) 3,749,231 shares of Common Stock (the “</w:t>
      </w:r>
      <w:r>
        <w:rPr>
          <w:rFonts w:ascii="Times New Roman" w:hAnsi="Times New Roman"/>
          <w:b/>
          <w:i/>
          <w:sz w:val="20"/>
        </w:rPr>
        <w:t>PIPE Warrant Shares</w:t>
      </w:r>
      <w:r>
        <w:rPr>
          <w:rFonts w:ascii="Times New Roman" w:hAnsi="Times New Roman"/>
          <w:sz w:val="20"/>
        </w:rPr>
        <w:t>”) issuable upon exercise of outstanding warrants (the “</w:t>
      </w:r>
      <w:r>
        <w:rPr>
          <w:rFonts w:ascii="Times New Roman" w:hAnsi="Times New Roman"/>
          <w:b/>
          <w:i/>
          <w:sz w:val="20"/>
        </w:rPr>
        <w:t>PIPE Warrants</w:t>
      </w:r>
      <w:r>
        <w:rPr>
          <w:rFonts w:ascii="Times New Roman" w:hAnsi="Times New Roman"/>
          <w:sz w:val="20"/>
        </w:rPr>
        <w:t>”) (or, if such PIPE Warrants are exercised for Series C Preferred Stock, the shares of Common Stock issuable upon conversion of such shares of Series C Preferred Stock). The Acquisition Warrant Shares and the PIPE Warrant Shares are referred to herein collectively as the “</w:t>
      </w:r>
      <w:r>
        <w:rPr>
          <w:rFonts w:ascii="Times New Roman" w:hAnsi="Times New Roman"/>
          <w:b/>
          <w:i/>
          <w:sz w:val="20"/>
        </w:rPr>
        <w:t>Warrant Shares</w:t>
      </w:r>
      <w:r>
        <w:rPr>
          <w:rFonts w:ascii="Times New Roman" w:hAnsi="Times New Roman"/>
          <w:sz w:val="20"/>
        </w:rPr>
        <w:t>”), and the Acquisition Warrants and the PIPE Warrants are referred to herein collectively as the “</w:t>
      </w:r>
      <w:r>
        <w:rPr>
          <w:rFonts w:ascii="Times New Roman" w:hAnsi="Times New Roman"/>
          <w:b/>
          <w:i/>
          <w:sz w:val="20"/>
        </w:rPr>
        <w:t>Warrants</w:t>
      </w:r>
      <w:r>
        <w:rPr>
          <w:rFonts w:ascii="Times New Roman" w:hAnsi="Times New Roman"/>
          <w:sz w:val="20"/>
        </w:rPr>
        <w:t>”. The Acquisition Shares, the Acquisition Preferred Shares and the Acquisition Warrants were issued by the Company pursuant to that certain Agreement and Plan of Merger, dated May 17, 2026 (the “</w:t>
      </w:r>
      <w:r>
        <w:rPr>
          <w:rFonts w:ascii="Times New Roman" w:hAnsi="Times New Roman"/>
          <w:b/>
          <w:i/>
          <w:sz w:val="20"/>
        </w:rPr>
        <w:t>Merger Agreement</w:t>
      </w:r>
      <w:r>
        <w:rPr>
          <w:rFonts w:ascii="Times New Roman" w:hAnsi="Times New Roman"/>
          <w:sz w:val="20"/>
        </w:rPr>
        <w:t>”), by and among the Company, Phoenix Merger Sub I, Inc., Phoenix Merger Sub II, LLC, Orphai Therapeutics, LLC and Orphai Holdings Therapeutics, Inc. The PIPE Preferred Shares and the PIPE Warrants were issued by the Company pursuant to that certain Securities Purchase Agreement, dated May 18, 2026 (the “</w:t>
      </w:r>
      <w:r>
        <w:rPr>
          <w:rFonts w:ascii="Times New Roman" w:hAnsi="Times New Roman"/>
          <w:b/>
          <w:i/>
          <w:sz w:val="20"/>
        </w:rPr>
        <w:t>Purchase Agreement</w:t>
      </w:r>
      <w:r>
        <w:rPr>
          <w:rFonts w:ascii="Times New Roman" w:hAnsi="Times New Roman"/>
          <w:sz w:val="20"/>
        </w:rPr>
        <w:t xml:space="preserve">”), among the Company and the purchasers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Company’s certificate of incorporation and bylaws, each as currently in effect, the Merger Agreement, the Purchase Agreement, the form of the Warrants,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 7800  f: (202) 842 7899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049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304925" cy="42862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Quince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Acquisition Conversion Shares, the PIPE Conversion Shares and the Warrant Shares, we express no opinion to the extent that future issuances of securities of the Company, antidilution adjustments to outstanding securities of the Company or other matters cause the Preferred Shares to be convertible into, or the Warrants to be exercisable for, more shares of Common Stock than the number available for issuance by the Company, or that the consideration paid upon exercise of the Warrants is below the par value per share of the Common Stock or the Series C Preferred Stock,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 exceptions, limitations and qualifications set forth herein, we are of the opinion that (a) the Acquisition Shares are validly issued, fully paid and nonassessable, (b) the Acquisition Conversion Shares and the PIPE Conversion Shares, when issued upon conversion of the Acquisition Preferred Shares and the PIPE Preferred Shares, respectively, in accordance with the terms of the Series C Preferred Stock, will be validly issued, fully paid and nonassessable, and (c) the Acquisition Warrant Shares and the PIPE Warrant Shares, when issued and paid for in accordance with the terms of the Warrants and converted in accordance with the terms of the Series C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Cooley LLP</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Madison A. Jones</w:t>
            </w:r>
          </w:p>
        </w:tc>
      </w:tr>
      <w:tr>
        <w:trPr/>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Madison A. Jones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1299 Pennsylvania Avenue NW  Suite 700  Washington, DC 20004-2400 </w:t>
      </w:r>
    </w:p>
    <w:p>
      <w:pPr>
        <w:pStyle w:val="TextBody"/>
        <w:bidi w:val="0"/>
        <w:spacing w:before="0" w:after="0"/>
        <w:jc w:val="center"/>
        <w:rPr>
          <w:rFonts w:ascii="Times New Roman" w:hAnsi="Times New Roman"/>
          <w:sz w:val="20"/>
        </w:rPr>
      </w:pPr>
      <w:r>
        <w:rPr>
          <w:rFonts w:ascii="Times New Roman" w:hAnsi="Times New Roman"/>
          <w:sz w:val="20"/>
        </w:rPr>
        <w:t xml:space="preserve">t: (202) 842 7800  f: (202) 842 7899  cooley.com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62774/000119312526228133/d109149dex21.htm" TargetMode="External"/><Relationship Id="rId3" Type="http://schemas.openxmlformats.org/officeDocument/2006/relationships/hyperlink" Target="http://www.sec.gov/Archives/edgar/data/1662774/000119312519145468/d747357dex31.htm" TargetMode="External"/><Relationship Id="rId4" Type="http://schemas.openxmlformats.org/officeDocument/2006/relationships/hyperlink" Target="http://www.sec.gov/Archives/edgar/data/1662774/000119312522207867/d346512dex31.htm" TargetMode="External"/><Relationship Id="rId5" Type="http://schemas.openxmlformats.org/officeDocument/2006/relationships/hyperlink" Target="http://www.sec.gov/Archives/edgar/data/0001662774/000119312526149021/d115661dex31.htm" TargetMode="External"/><Relationship Id="rId6" Type="http://schemas.openxmlformats.org/officeDocument/2006/relationships/hyperlink" Target="http://www.sec.gov/Archives/edgar/data/1662774/000119312526284089/d168420dex31.htm" TargetMode="External"/><Relationship Id="rId7" Type="http://schemas.openxmlformats.org/officeDocument/2006/relationships/hyperlink" Target="http://www.sec.gov/Archives/edgar/data/1662774/000119312522207867/d346512dex32.htm" TargetMode="External"/><Relationship Id="rId8" Type="http://schemas.openxmlformats.org/officeDocument/2006/relationships/hyperlink" Target="http://www.sec.gov/Archives/edgar/data/1662774/000119312526151364/qncx-ex3_4.htm" TargetMode="External"/><Relationship Id="rId9" Type="http://schemas.openxmlformats.org/officeDocument/2006/relationships/hyperlink" Target="http://www.sec.gov/Archives/edgar/data/0001662774/000119312526228133/d109149dex31.htm" TargetMode="External"/><Relationship Id="rId10" Type="http://schemas.openxmlformats.org/officeDocument/2006/relationships/hyperlink" Target="http://www.sec.gov/Archives/edgar/data/1662774/000119312525140873/d31831dex41.htm" TargetMode="External"/><Relationship Id="rId11" Type="http://schemas.openxmlformats.org/officeDocument/2006/relationships/hyperlink" Target="http://www.sec.gov/Archives/edgar/data/1662774/000119312525140873/d31831dex42.htm" TargetMode="External"/><Relationship Id="rId12" Type="http://schemas.openxmlformats.org/officeDocument/2006/relationships/hyperlink" Target="http://www.sec.gov/Archives/edgar/data/0001662774/000119312526228133/d109149dex41.htm" TargetMode="External"/><Relationship Id="rId13" Type="http://schemas.openxmlformats.org/officeDocument/2006/relationships/hyperlink" Target="http://www.sec.gov/Archives/edgar/data/1662774/000119312525140873/d31831dex102.htm" TargetMode="External"/><Relationship Id="rId14" Type="http://schemas.openxmlformats.org/officeDocument/2006/relationships/hyperlink" Target="http://www.sec.gov/Archives/edgar/data/0001662774/000119312526228133/d109149dex102.htm" TargetMode="External"/><Relationship Id="rId15" Type="http://schemas.openxmlformats.org/officeDocument/2006/relationships/hyperlink" Target="http://www.sec.gov/Archives/edgar/data/1662774/000119312526328769/d167417dex231.htm" TargetMode="External"/><Relationship Id="rId16" Type="http://schemas.openxmlformats.org/officeDocument/2006/relationships/hyperlink" Target="http://www.sec.gov/Archives/edgar/data/1662774/000119312526328769/d167417dex232.htm" TargetMode="External"/><Relationship Id="rId17" Type="http://schemas.openxmlformats.org/officeDocument/2006/relationships/hyperlink" Target="http://www.sec.gov/Archives/edgar/data/../../../ix?doc=/Archives/edgar/data/1662774/000119312526328769/d167417dexfilingfees.htm" TargetMode="External"/><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4253</Words>
  <Characters>22854</Characters>
  <CharactersWithSpaces>27176</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